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B2" w:rsidRDefault="00573EB2">
      <w:pPr>
        <w:snapToGrid w:val="0"/>
        <w:spacing w:beforeLines="50" w:before="156" w:afterLines="50" w:after="156"/>
        <w:jc w:val="center"/>
        <w:rPr>
          <w:rFonts w:ascii="微软雅黑" w:eastAsia="微软雅黑" w:hAnsi="微软雅黑" w:cs="微软雅黑"/>
          <w:b/>
          <w:sz w:val="36"/>
          <w:szCs w:val="36"/>
        </w:rPr>
      </w:pPr>
    </w:p>
    <w:p w:rsidR="00573EB2" w:rsidRDefault="001C299C">
      <w:pPr>
        <w:snapToGrid w:val="0"/>
        <w:spacing w:beforeLines="50" w:before="156" w:afterLines="50" w:after="156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 w:hint="eastAsia"/>
          <w:b/>
          <w:sz w:val="36"/>
          <w:szCs w:val="36"/>
        </w:rPr>
        <w:t>补充协议</w:t>
      </w:r>
    </w:p>
    <w:bookmarkEnd w:id="0"/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经旅游者与旅行社双方充分协商，就本次旅游的购物场所达成一致，双方均自愿签署本补充协议。</w:t>
      </w:r>
    </w:p>
    <w:p w:rsidR="00573EB2" w:rsidRDefault="00573EB2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购物场所安排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1.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>欧洲各国对商品定价都有严格管理，同一国家内同样商品不会有较大价差。但各国之间会存在差别，请您仔细做好攻略后谨慎购买。以下推荐商店也是当地人购物场所，不排除某些商品出现略小价差现象，请您自行甄选，我们无法承担退换差价的责任；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购物活动参加与否，由旅游者根据自身需要和个人意志，自愿、自主决定，旅行社全程绝不强制购物。</w:t>
      </w:r>
      <w:r>
        <w:rPr>
          <w:rFonts w:ascii="微软雅黑" w:eastAsia="微软雅黑" w:hAnsi="微软雅黑" w:cs="微软雅黑" w:hint="eastAsia"/>
          <w:sz w:val="18"/>
          <w:szCs w:val="18"/>
        </w:rPr>
        <w:t>如旅游者不参加购物活动的，将根据行程安排的内容进行活动。除本补充确认中的购物场所外，无其他购物店；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3.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>欧洲法律规定：购物金额低于</w:t>
      </w:r>
      <w:r>
        <w:rPr>
          <w:rFonts w:ascii="微软雅黑" w:eastAsia="微软雅黑" w:hAnsi="微软雅黑" w:cs="微软雅黑" w:hint="eastAsia"/>
          <w:sz w:val="18"/>
          <w:szCs w:val="18"/>
        </w:rPr>
        <w:t>1000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欧元以内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可支付现金</w:t>
      </w:r>
      <w:r>
        <w:rPr>
          <w:rFonts w:ascii="微软雅黑" w:eastAsia="微软雅黑" w:hAnsi="微软雅黑" w:cs="微软雅黑" w:hint="eastAsia"/>
          <w:sz w:val="18"/>
          <w:szCs w:val="18"/>
        </w:rPr>
        <w:t>,</w:t>
      </w:r>
      <w:r>
        <w:rPr>
          <w:rFonts w:ascii="微软雅黑" w:eastAsia="微软雅黑" w:hAnsi="微软雅黑" w:cs="微软雅黑" w:hint="eastAsia"/>
          <w:sz w:val="18"/>
          <w:szCs w:val="18"/>
        </w:rPr>
        <w:t>超出</w:t>
      </w:r>
      <w:r>
        <w:rPr>
          <w:rFonts w:ascii="微软雅黑" w:eastAsia="微软雅黑" w:hAnsi="微软雅黑" w:cs="微软雅黑" w:hint="eastAsia"/>
          <w:sz w:val="18"/>
          <w:szCs w:val="18"/>
        </w:rPr>
        <w:t>1000</w:t>
      </w:r>
      <w:r>
        <w:rPr>
          <w:rFonts w:ascii="微软雅黑" w:eastAsia="微软雅黑" w:hAnsi="微软雅黑" w:cs="微软雅黑" w:hint="eastAsia"/>
          <w:sz w:val="18"/>
          <w:szCs w:val="18"/>
        </w:rPr>
        <w:t>欧元以上金额需用信用卡或旅行支票等支付。如果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您此次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出行有购物需求，请携带</w:t>
      </w:r>
      <w:r>
        <w:rPr>
          <w:rFonts w:ascii="微软雅黑" w:eastAsia="微软雅黑" w:hAnsi="微软雅黑" w:cs="微软雅黑" w:hint="eastAsia"/>
          <w:sz w:val="18"/>
          <w:szCs w:val="18"/>
        </w:rPr>
        <w:t>VISA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sz w:val="18"/>
          <w:szCs w:val="18"/>
        </w:rPr>
        <w:t>MASTER</w:t>
      </w:r>
      <w:r>
        <w:rPr>
          <w:rFonts w:ascii="微软雅黑" w:eastAsia="微软雅黑" w:hAnsi="微软雅黑" w:cs="微软雅黑" w:hint="eastAsia"/>
          <w:sz w:val="18"/>
          <w:szCs w:val="18"/>
        </w:rPr>
        <w:t>的信用卡；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4.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>游客在本补充协议约定的购物场所购买的商品，非商品质量问题，旅行社不协助退换；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5.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>游客自行前往不在本补充协议中的购物场所购买的商品，旅行社不承担任何责任；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6.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>如遇不可抗力（天气、罢工、政府行为等）或其他旅行社已尽合理注意义务仍不能避免的事件（公共交通延误或取消、交通堵塞、重大礼宾等），为保证景点正常游览，旅行社可能根据实际需要减少本补充协议约定的购物场所，敬请游客谅解。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7.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携带超过一定金额限度的物品进入各个国家境内时应进行海关申报，是各国为防止走私而采取的措施，属于国际惯例，各国海关会有随机抽查的可能，如遇海关抽查，旅行社不承担任何责任。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8.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>退税说明：</w:t>
      </w:r>
    </w:p>
    <w:p w:rsidR="00573EB2" w:rsidRDefault="001C299C">
      <w:pPr>
        <w:snapToGrid w:val="0"/>
        <w:spacing w:beforeLines="50" w:before="156" w:afterLines="50" w:after="156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退税是欧盟对非欧盟游客在欧洲购物的优惠政策，整个退税手续及流程均由欧洲国家控制，经常会出现退税不成功、</w:t>
      </w:r>
      <w:r>
        <w:rPr>
          <w:rFonts w:ascii="微软雅黑" w:eastAsia="微软雅黑" w:hAnsi="微软雅黑" w:cs="微软雅黑" w:hint="eastAsia"/>
          <w:sz w:val="18"/>
          <w:szCs w:val="18"/>
        </w:rPr>
        <w:t>税单邮递过程中丢失导致无法退税等问题，我们会负责协调处理，但无法承担任何赔偿。另外游客未在旅游团指定商店购物造成未能退税，旅行社不承担任何责任；导游有责任和义务协助贵宾办理退税手续</w:t>
      </w:r>
      <w:r>
        <w:rPr>
          <w:rFonts w:ascii="微软雅黑" w:eastAsia="微软雅黑" w:hAnsi="微软雅黑" w:cs="微软雅黑" w:hint="eastAsia"/>
          <w:sz w:val="18"/>
          <w:szCs w:val="18"/>
        </w:rPr>
        <w:t>,</w:t>
      </w:r>
      <w:r>
        <w:rPr>
          <w:rFonts w:ascii="微软雅黑" w:eastAsia="微软雅黑" w:hAnsi="微软雅黑" w:cs="微软雅黑" w:hint="eastAsia"/>
          <w:sz w:val="18"/>
          <w:szCs w:val="18"/>
        </w:rPr>
        <w:t>导游应详细讲解退税流程、注意事项及税单的正确填写。但是如果因为贵宾个人问题（如没有仔细听讲、没有按照流程操作、没有按照流程邮寄税单）或者客观原因（如遇到海关退税部门临时休息、海关临时更改流程、税单在邮寄过程中发生问题商家没有收到税单等）在退税过程中出现错误，导致您被扣款、无法退钱、退税金额有所出入等情况，旅行社和导游仅能协助您积</w:t>
      </w:r>
      <w:r>
        <w:rPr>
          <w:rFonts w:ascii="微软雅黑" w:eastAsia="微软雅黑" w:hAnsi="微软雅黑" w:cs="微软雅黑" w:hint="eastAsia"/>
          <w:sz w:val="18"/>
          <w:szCs w:val="18"/>
        </w:rPr>
        <w:t>极处理，并不能承担您的损失，请贵宾们理解。</w:t>
      </w:r>
    </w:p>
    <w:tbl>
      <w:tblPr>
        <w:tblW w:w="9459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8"/>
        <w:gridCol w:w="2240"/>
        <w:gridCol w:w="4889"/>
        <w:gridCol w:w="1252"/>
      </w:tblGrid>
      <w:tr w:rsidR="00573EB2">
        <w:trPr>
          <w:jc w:val="center"/>
        </w:trPr>
        <w:tc>
          <w:tcPr>
            <w:tcW w:w="1078" w:type="dxa"/>
            <w:vMerge w:val="restart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意大利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威尼斯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TRISTAR</w:t>
            </w:r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精美水晶玻璃制品（酒杯、器具、首饰…）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</w:t>
            </w:r>
          </w:p>
        </w:tc>
      </w:tr>
      <w:tr w:rsidR="00573EB2">
        <w:trPr>
          <w:jc w:val="center"/>
        </w:trPr>
        <w:tc>
          <w:tcPr>
            <w:tcW w:w="1078" w:type="dxa"/>
            <w:vMerge/>
            <w:shd w:val="clear" w:color="auto" w:fill="FFFFFF"/>
            <w:vAlign w:val="center"/>
          </w:tcPr>
          <w:p w:rsidR="00573EB2" w:rsidRDefault="00573EB2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威尼斯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DFS</w:t>
            </w:r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百货公司、各式欧洲名品（主打意大利品牌）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</w:t>
            </w:r>
          </w:p>
        </w:tc>
      </w:tr>
      <w:tr w:rsidR="00573EB2">
        <w:trPr>
          <w:trHeight w:val="270"/>
          <w:jc w:val="center"/>
        </w:trPr>
        <w:tc>
          <w:tcPr>
            <w:tcW w:w="1078" w:type="dxa"/>
            <w:vMerge/>
            <w:shd w:val="clear" w:color="auto" w:fill="FFFFFF"/>
            <w:vAlign w:val="center"/>
          </w:tcPr>
          <w:p w:rsidR="00573EB2" w:rsidRDefault="00573EB2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佛罗伦萨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Adrimar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意大利著名皮具制作销售店，意大利名品皮衣，皮具以及意大利品牌服饰等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</w:t>
            </w:r>
          </w:p>
        </w:tc>
      </w:tr>
      <w:tr w:rsidR="00573EB2">
        <w:trPr>
          <w:trHeight w:val="270"/>
          <w:jc w:val="center"/>
        </w:trPr>
        <w:tc>
          <w:tcPr>
            <w:tcW w:w="1078" w:type="dxa"/>
            <w:vMerge/>
            <w:shd w:val="clear" w:color="auto" w:fill="FFFFFF"/>
            <w:vAlign w:val="center"/>
          </w:tcPr>
          <w:p w:rsidR="00573EB2" w:rsidRDefault="00573EB2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罗马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三越馆</w:t>
            </w:r>
            <w:proofErr w:type="gramEnd"/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欧洲精品服装、皮具、手表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</w:t>
            </w:r>
          </w:p>
        </w:tc>
      </w:tr>
      <w:tr w:rsidR="00573EB2">
        <w:trPr>
          <w:jc w:val="center"/>
        </w:trPr>
        <w:tc>
          <w:tcPr>
            <w:tcW w:w="1078" w:type="dxa"/>
            <w:vMerge w:val="restart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法国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巴黎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BENLUX</w:t>
            </w:r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化妆品、手表、免税商品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</w:t>
            </w:r>
          </w:p>
        </w:tc>
      </w:tr>
      <w:tr w:rsidR="00573EB2">
        <w:trPr>
          <w:trHeight w:val="378"/>
          <w:jc w:val="center"/>
        </w:trPr>
        <w:tc>
          <w:tcPr>
            <w:tcW w:w="1078" w:type="dxa"/>
            <w:vMerge/>
            <w:shd w:val="clear" w:color="auto" w:fill="FFFFFF"/>
            <w:vAlign w:val="center"/>
          </w:tcPr>
          <w:p w:rsidR="00573EB2" w:rsidRDefault="00573EB2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巴黎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老佛爷、春天</w:t>
            </w:r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百货公司、各式欧洲名品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2.5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</w:t>
            </w:r>
          </w:p>
        </w:tc>
      </w:tr>
      <w:tr w:rsidR="00573EB2">
        <w:trPr>
          <w:trHeight w:val="458"/>
          <w:jc w:val="center"/>
        </w:trPr>
        <w:tc>
          <w:tcPr>
            <w:tcW w:w="1078" w:type="dxa"/>
            <w:vMerge/>
            <w:shd w:val="clear" w:color="auto" w:fill="FFFFFF"/>
            <w:vAlign w:val="center"/>
          </w:tcPr>
          <w:p w:rsidR="00573EB2" w:rsidRDefault="00573EB2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巴黎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BURCHERE</w:t>
            </w:r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精品名表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2.5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</w:t>
            </w:r>
          </w:p>
        </w:tc>
      </w:tr>
      <w:tr w:rsidR="00573EB2">
        <w:trPr>
          <w:trHeight w:val="458"/>
          <w:jc w:val="center"/>
        </w:trPr>
        <w:tc>
          <w:tcPr>
            <w:tcW w:w="1078" w:type="dxa"/>
            <w:vMerge/>
            <w:shd w:val="clear" w:color="auto" w:fill="FFFFFF"/>
            <w:vAlign w:val="center"/>
          </w:tcPr>
          <w:p w:rsidR="00573EB2" w:rsidRDefault="00573EB2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巴黎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尼斯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花宫娜</w:t>
            </w:r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香水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</w:p>
        </w:tc>
      </w:tr>
      <w:tr w:rsidR="00573EB2">
        <w:trPr>
          <w:trHeight w:val="458"/>
          <w:jc w:val="center"/>
        </w:trPr>
        <w:tc>
          <w:tcPr>
            <w:tcW w:w="1078" w:type="dxa"/>
            <w:vMerge/>
            <w:shd w:val="clear" w:color="auto" w:fill="FFFFFF"/>
            <w:vAlign w:val="center"/>
          </w:tcPr>
          <w:p w:rsidR="00573EB2" w:rsidRDefault="00573EB2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尼斯</w:t>
            </w:r>
            <w:proofErr w:type="spell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alimard</w:t>
            </w:r>
            <w:proofErr w:type="spellEnd"/>
          </w:p>
        </w:tc>
        <w:tc>
          <w:tcPr>
            <w:tcW w:w="4889" w:type="dxa"/>
            <w:shd w:val="clear" w:color="auto" w:fill="FFFFFF"/>
            <w:vAlign w:val="center"/>
          </w:tcPr>
          <w:p w:rsidR="00573EB2" w:rsidRDefault="001C299C">
            <w:pPr>
              <w:adjustRightInd w:val="0"/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香水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73EB2" w:rsidRDefault="001C299C">
            <w:pPr>
              <w:snapToGrid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</w:p>
        </w:tc>
      </w:tr>
    </w:tbl>
    <w:p w:rsidR="00573EB2" w:rsidRDefault="00573EB2">
      <w:pPr>
        <w:widowControl/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573EB2" w:rsidRDefault="001C299C">
      <w:pPr>
        <w:spacing w:line="30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t>我已阅读并充分理解以上所有内容，并愿意在友好、平等、自愿的情况下确认：</w:t>
      </w:r>
    </w:p>
    <w:p w:rsidR="00573EB2" w:rsidRDefault="001C299C">
      <w:pPr>
        <w:spacing w:line="30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ab/>
      </w:r>
    </w:p>
    <w:p w:rsidR="00573EB2" w:rsidRDefault="001C299C">
      <w:pPr>
        <w:spacing w:line="30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旅行社已就上述商店的特色、旅游者自愿购物、购物退税事宜及相关风险对我进行了全面的告知、提醒。我经慎重考虑后，自愿前往上述购物场所购买商品，旅行社并无强迫。我承诺将按照导游提醒办理退税事宜，并遵循旅行社的提示理性消费、注意保留购物单据、注意自身人身财产安全。如不能获得当地的退税，我将自行承担相关的损失。</w:t>
      </w:r>
    </w:p>
    <w:p w:rsidR="00573EB2" w:rsidRDefault="00573EB2">
      <w:pPr>
        <w:widowControl/>
        <w:spacing w:line="300" w:lineRule="atLeast"/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573EB2" w:rsidRDefault="001C299C">
      <w:pPr>
        <w:spacing w:line="30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我同意《购物项目补充确认》作为双方签署的旅游合同不可分割的组成部分。</w:t>
      </w:r>
    </w:p>
    <w:p w:rsidR="00573EB2" w:rsidRDefault="00573EB2">
      <w:pPr>
        <w:spacing w:line="300" w:lineRule="exact"/>
        <w:rPr>
          <w:rFonts w:ascii="微软雅黑" w:eastAsia="微软雅黑" w:hAnsi="微软雅黑" w:cs="微软雅黑"/>
          <w:sz w:val="18"/>
          <w:szCs w:val="18"/>
        </w:rPr>
      </w:pPr>
    </w:p>
    <w:p w:rsidR="00573EB2" w:rsidRDefault="001C299C">
      <w:pPr>
        <w:spacing w:line="30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旅行社（盖章）：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>旅游者或旅游者代表（签章）：</w:t>
      </w:r>
    </w:p>
    <w:p w:rsidR="00573EB2" w:rsidRDefault="001C299C">
      <w:pPr>
        <w:spacing w:line="30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经办人及电话：</w:t>
      </w:r>
      <w:r>
        <w:rPr>
          <w:rFonts w:ascii="微软雅黑" w:eastAsia="微软雅黑" w:hAnsi="微软雅黑" w:cs="微软雅黑" w:hint="eastAsia"/>
          <w:sz w:val="18"/>
          <w:szCs w:val="18"/>
        </w:rPr>
        <w:t>                  </w:t>
      </w:r>
    </w:p>
    <w:p w:rsidR="00573EB2" w:rsidRDefault="001C299C">
      <w:pPr>
        <w:spacing w:line="30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签约日期：</w:t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sz w:val="18"/>
          <w:szCs w:val="18"/>
        </w:rPr>
        <w:tab/>
        <w:t xml:space="preserve">    </w:t>
      </w:r>
      <w:r>
        <w:rPr>
          <w:rFonts w:ascii="微软雅黑" w:eastAsia="微软雅黑" w:hAnsi="微软雅黑" w:cs="微软雅黑" w:hint="eastAsia"/>
          <w:sz w:val="18"/>
          <w:szCs w:val="18"/>
        </w:rPr>
        <w:t>签约日期：</w:t>
      </w:r>
    </w:p>
    <w:p w:rsidR="00573EB2" w:rsidRDefault="00573EB2">
      <w:pPr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573EB2" w:rsidRDefault="00573EB2">
      <w:pPr>
        <w:widowControl/>
        <w:spacing w:line="300" w:lineRule="atLeast"/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573EB2" w:rsidRDefault="00573EB2">
      <w:pPr>
        <w:widowControl/>
        <w:spacing w:line="300" w:lineRule="atLeast"/>
        <w:rPr>
          <w:rFonts w:ascii="微软雅黑" w:eastAsia="微软雅黑" w:hAnsi="微软雅黑" w:cs="微软雅黑"/>
          <w:color w:val="365F91"/>
          <w:kern w:val="0"/>
          <w:sz w:val="18"/>
          <w:szCs w:val="18"/>
        </w:rPr>
      </w:pPr>
    </w:p>
    <w:p w:rsidR="00573EB2" w:rsidRDefault="00573EB2">
      <w:pPr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573EB2" w:rsidRDefault="00573EB2">
      <w:pPr>
        <w:widowControl/>
        <w:spacing w:line="300" w:lineRule="atLeast"/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573EB2" w:rsidRDefault="00573EB2">
      <w:pPr>
        <w:widowControl/>
        <w:spacing w:line="300" w:lineRule="atLeast"/>
        <w:rPr>
          <w:rFonts w:ascii="微软雅黑" w:eastAsia="微软雅黑" w:hAnsi="微软雅黑" w:cs="微软雅黑"/>
          <w:color w:val="365F91"/>
          <w:kern w:val="0"/>
          <w:sz w:val="18"/>
          <w:szCs w:val="18"/>
        </w:rPr>
      </w:pPr>
    </w:p>
    <w:p w:rsidR="00573EB2" w:rsidRDefault="00573EB2">
      <w:pPr>
        <w:widowControl/>
        <w:spacing w:line="300" w:lineRule="atLeast"/>
        <w:rPr>
          <w:rFonts w:ascii="微软雅黑" w:eastAsia="微软雅黑" w:hAnsi="微软雅黑" w:cs="微软雅黑"/>
          <w:color w:val="365F91"/>
          <w:kern w:val="0"/>
          <w:sz w:val="18"/>
          <w:szCs w:val="18"/>
        </w:rPr>
      </w:pPr>
    </w:p>
    <w:p w:rsidR="00573EB2" w:rsidRDefault="00573EB2">
      <w:pPr>
        <w:widowControl/>
        <w:spacing w:line="300" w:lineRule="atLeast"/>
        <w:rPr>
          <w:rFonts w:ascii="微软雅黑" w:eastAsia="微软雅黑" w:hAnsi="微软雅黑" w:cs="微软雅黑"/>
          <w:color w:val="365F91"/>
          <w:kern w:val="0"/>
          <w:sz w:val="18"/>
          <w:szCs w:val="18"/>
        </w:rPr>
      </w:pPr>
    </w:p>
    <w:sectPr w:rsidR="00573EB2">
      <w:headerReference w:type="defaul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9C" w:rsidRDefault="001C299C">
      <w:r>
        <w:separator/>
      </w:r>
    </w:p>
  </w:endnote>
  <w:endnote w:type="continuationSeparator" w:id="0">
    <w:p w:rsidR="001C299C" w:rsidRDefault="001C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9C" w:rsidRDefault="001C299C">
      <w:r>
        <w:separator/>
      </w:r>
    </w:p>
  </w:footnote>
  <w:footnote w:type="continuationSeparator" w:id="0">
    <w:p w:rsidR="001C299C" w:rsidRDefault="001C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B2" w:rsidRDefault="001C299C">
    <w:pPr>
      <w:pStyle w:val="a7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-565150</wp:posOffset>
          </wp:positionV>
          <wp:extent cx="7564120" cy="10683240"/>
          <wp:effectExtent l="0" t="0" r="10160" b="0"/>
          <wp:wrapNone/>
          <wp:docPr id="9" name="图片 9" descr="盈尚系列 10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盈尚系列 10-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068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976"/>
    <w:multiLevelType w:val="multilevel"/>
    <w:tmpl w:val="06D95976"/>
    <w:lvl w:ilvl="0">
      <w:start w:val="9"/>
      <w:numFmt w:val="bullet"/>
      <w:lvlText w:val="◎"/>
      <w:lvlJc w:val="left"/>
      <w:pPr>
        <w:ind w:left="420" w:hanging="420"/>
      </w:pPr>
      <w:rPr>
        <w:rFonts w:ascii="宋体" w:eastAsia="宋体" w:hAnsi="宋体" w:cs="Arial" w:hint="eastAsia"/>
      </w:rPr>
    </w:lvl>
    <w:lvl w:ilvl="1">
      <w:numFmt w:val="bullet"/>
      <w:lvlText w:val="※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63A5C"/>
    <w:multiLevelType w:val="multilevel"/>
    <w:tmpl w:val="54063A5C"/>
    <w:lvl w:ilvl="0">
      <w:start w:val="9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8F851"/>
    <w:multiLevelType w:val="singleLevel"/>
    <w:tmpl w:val="5858F851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858F955"/>
    <w:multiLevelType w:val="singleLevel"/>
    <w:tmpl w:val="5858F955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7B012A26"/>
    <w:multiLevelType w:val="multilevel"/>
    <w:tmpl w:val="7B012A26"/>
    <w:lvl w:ilvl="0">
      <w:start w:val="9"/>
      <w:numFmt w:val="bullet"/>
      <w:lvlText w:val="◎"/>
      <w:lvlJc w:val="left"/>
      <w:pPr>
        <w:ind w:left="420" w:hanging="42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B6"/>
    <w:rsid w:val="00027568"/>
    <w:rsid w:val="00045650"/>
    <w:rsid w:val="00056B14"/>
    <w:rsid w:val="0005779F"/>
    <w:rsid w:val="000675CD"/>
    <w:rsid w:val="00067D27"/>
    <w:rsid w:val="0008529B"/>
    <w:rsid w:val="000D1174"/>
    <w:rsid w:val="000F6454"/>
    <w:rsid w:val="00102CEF"/>
    <w:rsid w:val="001361C9"/>
    <w:rsid w:val="00143210"/>
    <w:rsid w:val="001528B8"/>
    <w:rsid w:val="00161B08"/>
    <w:rsid w:val="00171DC6"/>
    <w:rsid w:val="00197DE7"/>
    <w:rsid w:val="001A59E0"/>
    <w:rsid w:val="001C299C"/>
    <w:rsid w:val="001F10FB"/>
    <w:rsid w:val="002000B9"/>
    <w:rsid w:val="002146A0"/>
    <w:rsid w:val="00214C62"/>
    <w:rsid w:val="00223802"/>
    <w:rsid w:val="00253B68"/>
    <w:rsid w:val="00271253"/>
    <w:rsid w:val="002C039E"/>
    <w:rsid w:val="002D3066"/>
    <w:rsid w:val="002D7D91"/>
    <w:rsid w:val="002E0288"/>
    <w:rsid w:val="002F38CA"/>
    <w:rsid w:val="00300A6D"/>
    <w:rsid w:val="00301F19"/>
    <w:rsid w:val="00316339"/>
    <w:rsid w:val="00337210"/>
    <w:rsid w:val="00352B7E"/>
    <w:rsid w:val="00354B63"/>
    <w:rsid w:val="00360010"/>
    <w:rsid w:val="003A4414"/>
    <w:rsid w:val="003C3BE1"/>
    <w:rsid w:val="00404758"/>
    <w:rsid w:val="00450149"/>
    <w:rsid w:val="00480614"/>
    <w:rsid w:val="00495732"/>
    <w:rsid w:val="004B6BC5"/>
    <w:rsid w:val="004C3B30"/>
    <w:rsid w:val="004D1321"/>
    <w:rsid w:val="0052513B"/>
    <w:rsid w:val="005404CC"/>
    <w:rsid w:val="00550A0D"/>
    <w:rsid w:val="00561582"/>
    <w:rsid w:val="00573EB2"/>
    <w:rsid w:val="005B09E0"/>
    <w:rsid w:val="005B3403"/>
    <w:rsid w:val="005C75AF"/>
    <w:rsid w:val="006363F5"/>
    <w:rsid w:val="00652EDD"/>
    <w:rsid w:val="00671A6B"/>
    <w:rsid w:val="00680332"/>
    <w:rsid w:val="00695B2A"/>
    <w:rsid w:val="006B17F3"/>
    <w:rsid w:val="006C3AC5"/>
    <w:rsid w:val="006D3F95"/>
    <w:rsid w:val="006F1326"/>
    <w:rsid w:val="007326B6"/>
    <w:rsid w:val="007406E5"/>
    <w:rsid w:val="00771161"/>
    <w:rsid w:val="007802D8"/>
    <w:rsid w:val="007A0CC6"/>
    <w:rsid w:val="007E454D"/>
    <w:rsid w:val="0082274A"/>
    <w:rsid w:val="00834110"/>
    <w:rsid w:val="00845DD5"/>
    <w:rsid w:val="008752FA"/>
    <w:rsid w:val="00885CE5"/>
    <w:rsid w:val="008A4B5B"/>
    <w:rsid w:val="008A7EC7"/>
    <w:rsid w:val="008B1A86"/>
    <w:rsid w:val="008C0037"/>
    <w:rsid w:val="008E6937"/>
    <w:rsid w:val="00937DEF"/>
    <w:rsid w:val="00955341"/>
    <w:rsid w:val="009A2A7A"/>
    <w:rsid w:val="009A2A81"/>
    <w:rsid w:val="009B0B67"/>
    <w:rsid w:val="009B75D3"/>
    <w:rsid w:val="00A47167"/>
    <w:rsid w:val="00A51964"/>
    <w:rsid w:val="00A550B5"/>
    <w:rsid w:val="00A827D8"/>
    <w:rsid w:val="00A8605B"/>
    <w:rsid w:val="00A97AC7"/>
    <w:rsid w:val="00AB1E19"/>
    <w:rsid w:val="00AB7AE2"/>
    <w:rsid w:val="00AC6EBE"/>
    <w:rsid w:val="00AE49FB"/>
    <w:rsid w:val="00B02818"/>
    <w:rsid w:val="00B173FC"/>
    <w:rsid w:val="00B174DC"/>
    <w:rsid w:val="00B65342"/>
    <w:rsid w:val="00B70580"/>
    <w:rsid w:val="00B8537D"/>
    <w:rsid w:val="00B958B7"/>
    <w:rsid w:val="00B9729F"/>
    <w:rsid w:val="00BB4669"/>
    <w:rsid w:val="00BB4BC7"/>
    <w:rsid w:val="00BB5DC8"/>
    <w:rsid w:val="00C02E65"/>
    <w:rsid w:val="00C13EF6"/>
    <w:rsid w:val="00C15F53"/>
    <w:rsid w:val="00C17FBC"/>
    <w:rsid w:val="00C92FEC"/>
    <w:rsid w:val="00CC2E9A"/>
    <w:rsid w:val="00CC62A6"/>
    <w:rsid w:val="00CE08DA"/>
    <w:rsid w:val="00CF1D8C"/>
    <w:rsid w:val="00CF746F"/>
    <w:rsid w:val="00D1149D"/>
    <w:rsid w:val="00D81916"/>
    <w:rsid w:val="00D94FEB"/>
    <w:rsid w:val="00DB0799"/>
    <w:rsid w:val="00DD7D78"/>
    <w:rsid w:val="00DE7F36"/>
    <w:rsid w:val="00DF71F8"/>
    <w:rsid w:val="00DF7411"/>
    <w:rsid w:val="00E261E2"/>
    <w:rsid w:val="00E527FB"/>
    <w:rsid w:val="00E7714A"/>
    <w:rsid w:val="00E97796"/>
    <w:rsid w:val="00EA2AA8"/>
    <w:rsid w:val="00EA475D"/>
    <w:rsid w:val="00EB68DD"/>
    <w:rsid w:val="00ED21EE"/>
    <w:rsid w:val="00EF3F88"/>
    <w:rsid w:val="00EF6315"/>
    <w:rsid w:val="00F0780D"/>
    <w:rsid w:val="00F113D5"/>
    <w:rsid w:val="00F1363A"/>
    <w:rsid w:val="00F3793D"/>
    <w:rsid w:val="00F50E3E"/>
    <w:rsid w:val="00F6106B"/>
    <w:rsid w:val="00F70479"/>
    <w:rsid w:val="00F8324C"/>
    <w:rsid w:val="011A5A1B"/>
    <w:rsid w:val="01BE2B0B"/>
    <w:rsid w:val="05F80F2D"/>
    <w:rsid w:val="08865D1A"/>
    <w:rsid w:val="09DE3296"/>
    <w:rsid w:val="0B150AB1"/>
    <w:rsid w:val="14675411"/>
    <w:rsid w:val="14A10769"/>
    <w:rsid w:val="2124734E"/>
    <w:rsid w:val="2CC51326"/>
    <w:rsid w:val="322B06D5"/>
    <w:rsid w:val="38FA6099"/>
    <w:rsid w:val="397B0C60"/>
    <w:rsid w:val="3A0654AF"/>
    <w:rsid w:val="3A085C6B"/>
    <w:rsid w:val="3BFA6549"/>
    <w:rsid w:val="3EA31B3A"/>
    <w:rsid w:val="42803838"/>
    <w:rsid w:val="485A3CFC"/>
    <w:rsid w:val="4B984D25"/>
    <w:rsid w:val="4DDD16DC"/>
    <w:rsid w:val="51CC514A"/>
    <w:rsid w:val="5A6A15EF"/>
    <w:rsid w:val="5D0508BA"/>
    <w:rsid w:val="5D690071"/>
    <w:rsid w:val="6150093D"/>
    <w:rsid w:val="62B05E48"/>
    <w:rsid w:val="63D02F89"/>
    <w:rsid w:val="66C51FCA"/>
    <w:rsid w:val="68897C18"/>
    <w:rsid w:val="6B9435B2"/>
    <w:rsid w:val="6FB937E2"/>
    <w:rsid w:val="71622036"/>
    <w:rsid w:val="74C203F4"/>
    <w:rsid w:val="78DF1A66"/>
    <w:rsid w:val="79605FCB"/>
    <w:rsid w:val="7BB654A9"/>
    <w:rsid w:val="7DEA067C"/>
    <w:rsid w:val="7EA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5F09FC"/>
  <w15:docId w15:val="{B85BE16A-76E4-4D8B-BE88-2CC9764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楷体_GB2312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CharChar3">
    <w:name w:val="Char Char3"/>
    <w:qFormat/>
    <w:rPr>
      <w:sz w:val="18"/>
      <w:szCs w:val="18"/>
      <w:lang w:bidi="ar-SA"/>
    </w:rPr>
  </w:style>
  <w:style w:type="character" w:customStyle="1" w:styleId="f141">
    <w:name w:val="f141"/>
    <w:qFormat/>
    <w:rPr>
      <w:sz w:val="22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" w:eastAsia="楷体_GB2312" w:hAnsi="Arial" w:cs="Times New Roman"/>
      <w:sz w:val="18"/>
      <w:szCs w:val="18"/>
    </w:rPr>
  </w:style>
  <w:style w:type="character" w:customStyle="1" w:styleId="CharChar31">
    <w:name w:val="Char Char31"/>
    <w:qFormat/>
    <w:rPr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fengtao huan</cp:lastModifiedBy>
  <cp:revision>2</cp:revision>
  <dcterms:created xsi:type="dcterms:W3CDTF">2018-03-07T05:38:00Z</dcterms:created>
  <dcterms:modified xsi:type="dcterms:W3CDTF">2018-03-07T05:38:00Z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NXPowerLiteLastOptimized">
    <vt:lpwstr>1085230</vt:lpwstr>
  </property>
  <property fmtid="{D5CDD505-2E9C-101B-9397-08002B2CF9AE}" pid="4" name="NXPowerLiteSettings">
    <vt:lpwstr>F7000400038000</vt:lpwstr>
  </property>
  <property fmtid="{D5CDD505-2E9C-101B-9397-08002B2CF9AE}" pid="5" name="NXPowerLiteVersion">
    <vt:lpwstr>D5.1.6</vt:lpwstr>
  </property>
</Properties>
</file>